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D7C" w:rsidRPr="008D5D7C" w:rsidRDefault="008D5D7C" w:rsidP="00535F2A">
      <w:pPr>
        <w:keepNext/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bookmarkStart w:id="0" w:name="_Toc161554131"/>
      <w:r w:rsidRPr="008D5D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 przedmiotu zamówienia.</w:t>
      </w:r>
    </w:p>
    <w:p w:rsidR="008D5D7C" w:rsidRPr="008D5D7C" w:rsidRDefault="008D5D7C" w:rsidP="008D5D7C">
      <w:pPr>
        <w:pStyle w:val="Akapitzlist"/>
        <w:keepNext/>
        <w:spacing w:after="120" w:line="276" w:lineRule="auto"/>
        <w:ind w:left="108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:rsidR="008C3B03" w:rsidRPr="00700257" w:rsidRDefault="008C3B03" w:rsidP="00535F2A">
      <w:pPr>
        <w:pStyle w:val="Akapitzlist"/>
        <w:keepNext/>
        <w:numPr>
          <w:ilvl w:val="0"/>
          <w:numId w:val="3"/>
        </w:numPr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7002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Wymagania techniczno-funkcjonalne dla karty elektronicznej – blankietu ELS</w:t>
      </w:r>
      <w:bookmarkEnd w:id="0"/>
      <w:r w:rsidR="00535F2A" w:rsidRPr="007002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.</w:t>
      </w:r>
    </w:p>
    <w:p w:rsidR="008C3B03" w:rsidRPr="008C3B03" w:rsidRDefault="008C3B03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Wstępnie</w:t>
      </w:r>
      <w:r w:rsidR="00D1304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zadrukowany blankiet ELS 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(Karta) jest </w:t>
      </w:r>
      <w:r w:rsidRPr="008C3B0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hybrydową elektroniczną kartą procesorową z dwoma niezależnymi układami procesorowymi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: jeden z interfejsem stykowym, a drugi z interfejsem bezstykowym:</w:t>
      </w:r>
    </w:p>
    <w:p w:rsidR="008C3B03" w:rsidRPr="008C3B03" w:rsidRDefault="008C3B03" w:rsidP="008C3B03">
      <w:pPr>
        <w:numPr>
          <w:ilvl w:val="0"/>
          <w:numId w:val="1"/>
        </w:numPr>
        <w:spacing w:after="8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>stykowym określonym w normach ISO/IEC 7816-2 i ISO/IEC 7816-3 o pojemności pamięci EEPROM co najmniej 67 kilobajtów,</w:t>
      </w:r>
    </w:p>
    <w:p w:rsidR="008C3B03" w:rsidRPr="008C3B03" w:rsidRDefault="008C3B03" w:rsidP="008C3B03">
      <w:pPr>
        <w:numPr>
          <w:ilvl w:val="0"/>
          <w:numId w:val="1"/>
        </w:numPr>
        <w:spacing w:after="8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bezstykowym określonym w normie ISO/IEC 14443 typ A, zgodnym ze standardem przemysłowym MIFARE® dla protokołu klasycznego o pojemności pamięci 1 kilobajt (MIFARE®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>Stadnard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Card IC MF1 IC S50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>Functional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>Specification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8C3B03" w:rsidRPr="008C3B03" w:rsidRDefault="008C3B03" w:rsidP="008C3B03">
      <w:pPr>
        <w:suppressAutoHyphens/>
        <w:spacing w:after="240" w:line="276" w:lineRule="auto"/>
        <w:ind w:firstLine="57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Karty wykonane są z materiału laminowanego nie ulegającemu odkształceniu i / lub rozwarstwieniu, o wymiarach i właściwościach fizycznych zgodnych z wymogami dla kart identyfikacyjnych formatu ID-1 określonymi w normie ISO/IEC 7810, a ich własności i odporność muszą być potwierdzone badaniami przeprowadzonymi zgodnie z wieloczęściową normą ISO/IEC 10373.</w:t>
      </w:r>
    </w:p>
    <w:p w:rsidR="008C3B03" w:rsidRPr="008C3B03" w:rsidRDefault="008C3B03" w:rsidP="008C3B03">
      <w:pPr>
        <w:keepNext/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Wygląd legitymacji</w:t>
      </w:r>
    </w:p>
    <w:p w:rsidR="008C3B03" w:rsidRPr="008C3B03" w:rsidRDefault="008C3B03" w:rsidP="008C3B03">
      <w:pPr>
        <w:keepNext/>
        <w:spacing w:after="24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Karta ma być wstępnie zadrukowanym blankietem elektronicznej legitymacji studenckiej spełniającym wymagania określone w Rozporządzeniu Ministra Nauki i Szkolnictwa Wyższego z dnia 16 kwietnia 2019 r. (Dz. U. 2019 poz. 787)</w:t>
      </w:r>
      <w:r w:rsidR="00D4182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8C3B03" w:rsidRPr="008C3B03" w:rsidRDefault="008C3B03" w:rsidP="008C3B03">
      <w:pPr>
        <w:keepNext/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elektroniczna – stykowa</w:t>
      </w:r>
    </w:p>
    <w:p w:rsidR="008C3B03" w:rsidRPr="008C3B03" w:rsidRDefault="008C3B03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Część stykowa karty jest wyposażona w interfejs określony w normach ISO/IEC 7816-2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i ISO/IEC 7816-3.</w:t>
      </w:r>
    </w:p>
    <w:p w:rsidR="008C3B03" w:rsidRPr="008C3B03" w:rsidRDefault="008C3B03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C3B03" w:rsidRPr="008C3B03" w:rsidRDefault="008C3B03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Polecenia i odpowiedzi przesyłane podczas komunikacji Karty z infrastrukturą informatyczną powinny mieć strukturę zgodną z APDU określoną w normie ISO/IEC 7816-4. Pojemność karty dla danych w systemie plików zgodnym z ISO 7816-4 powinna wynosić co najmniej 10 kilobajtów.</w:t>
      </w:r>
    </w:p>
    <w:p w:rsidR="008C3B03" w:rsidRPr="008C3B03" w:rsidRDefault="008C3B03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Polecenia realizowane przez Kartę dla operacji kryptograficznych i zarządzania są zgodne z ISO/IEC 7816-8, ISO/IEC 7816-9 oraz opcjonalnie ISO/IEC 7816-15.</w:t>
      </w:r>
    </w:p>
    <w:p w:rsidR="008C3B03" w:rsidRPr="008C3B03" w:rsidRDefault="008C3B03" w:rsidP="008C3B03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Blankiet może być stosowany jako kwalifikowane urządzenie do składania podpisu elektronicznego zgodnie z wymogami Rozporządzenia Parlamentu Europejskiego i Rady (UE) NR 910/2014 z dnia 23 lipca 2014 r. w sprawie identyfikacji elektronicznej i usług zaufania w odniesieniu do transakcji elektronicznych na rynku wewnętrznym oraz uchylające dyrektywę 1999/93/WE – Załącznik II Wymogi dla kwalifikowanych urządzeń do składania podpisu elektronicznego, na które powołuje się Ustawa z dnia 5 września 2016 r. o usługach zaufania oraz identyfikacji elektronicznej (Dz. U. 2016 poz. 1579).</w:t>
      </w:r>
    </w:p>
    <w:p w:rsidR="00700257" w:rsidRDefault="00700257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00257" w:rsidRDefault="00700257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C3B03" w:rsidRPr="00535F2A" w:rsidRDefault="00D13048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Blankiet ELS</w:t>
      </w:r>
      <w:r w:rsidR="008C3B03" w:rsidRPr="00535F2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musi spełniać następujące wymagania: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Układ elektroniczny o pojemności pamięci EEPROM co najmniej 67 kilobajtów z wbudowanym koprocesorem kryptograficznym;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Układ e</w:t>
      </w:r>
      <w:r w:rsidR="00D13048">
        <w:rPr>
          <w:rFonts w:ascii="Times New Roman" w:eastAsia="Times New Roman" w:hAnsi="Times New Roman" w:cs="Times New Roman"/>
          <w:sz w:val="24"/>
          <w:szCs w:val="24"/>
          <w:lang w:eastAsia="ar-SA"/>
        </w:rPr>
        <w:t>lektroniczny blankietu ELS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musi posiadać certyfikat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Common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Criteria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Standard na poziomie co najmniej  EAL4+;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Card Management i API zgodne z Global Platform 2.1.1;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System operacyjny Java Card </w:t>
      </w:r>
      <w:r w:rsidRPr="008C3B03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Virtual Machine, RTE i API zgodne z </w:t>
      </w:r>
      <w:r w:rsidRPr="008C3B03">
        <w:rPr>
          <w:rFonts w:ascii="Times New Roman" w:eastAsia="MS Mincho" w:hAnsi="Times New Roman" w:cs="Times New Roman"/>
          <w:bCs/>
          <w:sz w:val="24"/>
          <w:szCs w:val="24"/>
          <w:lang w:eastAsia="ja-JP"/>
        </w:rPr>
        <w:t>JC2.2.1;</w:t>
      </w:r>
    </w:p>
    <w:p w:rsidR="008C3B03" w:rsidRPr="008C3B03" w:rsidRDefault="00D13048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Blankiet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ELS</w:t>
      </w:r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proofErr w:type="spellStart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musi</w:t>
      </w:r>
      <w:proofErr w:type="spellEnd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proofErr w:type="spellStart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posiadać</w:t>
      </w:r>
      <w:proofErr w:type="spellEnd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proofErr w:type="spellStart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certyfikat</w:t>
      </w:r>
      <w:proofErr w:type="spellEnd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Common Criteria Standard </w:t>
      </w:r>
      <w:proofErr w:type="spellStart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według</w:t>
      </w:r>
      <w:proofErr w:type="spellEnd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proofErr w:type="spellStart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profilu</w:t>
      </w:r>
      <w:proofErr w:type="spellEnd"/>
      <w:r w:rsidR="008C3B03" w:rsidRPr="008C3B03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PPSSCD Protection Profile – Secure Signature Creation Device Type 2 and/or 3, version 1.05, EAL4+ (CWA14169);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Zgodny ze standardem funkcjonalności E-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Sign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 (CWA14890);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DAP zgodne z Global Platform 2.1 (PK-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Based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);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Obsługiwane protokoły: T=0, T=1, PPS;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Prędkość transmisji czytnik – karta do 230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Kbauds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Dostęp do klucza prywatnego zapisanego na Karcie możliwy jest wyłącznie przez koprocesor kryptograficzny Karty;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Wszystkie operacje kryptograficzne dotyczące klucza prywatnego wykonywane na karcie;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Użycie klucza prywatnego tylko po podaniu kodu PIN użytkownika;</w:t>
      </w:r>
    </w:p>
    <w:p w:rsidR="008C3B03" w:rsidRPr="008C3B03" w:rsidRDefault="008C3B03" w:rsidP="008C3B03">
      <w:pPr>
        <w:numPr>
          <w:ilvl w:val="0"/>
          <w:numId w:val="2"/>
        </w:numPr>
        <w:tabs>
          <w:tab w:val="num" w:pos="426"/>
        </w:tabs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Generowanie kluczy kryptograficznych o długości do 2048 bitów przeznaczonych do użycia przez algorytm RSA, podpisywanie za pomocą algorytmu RSA, obsługa funkcji skrótu SHA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noBreakHyphen/>
        <w:t>1, SHA-256, obsługa algorytmów DES, 3DES (ECB, CBC), AES;</w:t>
      </w:r>
    </w:p>
    <w:p w:rsidR="00535F2A" w:rsidRPr="00535F2A" w:rsidRDefault="008C3B03" w:rsidP="00535F2A">
      <w:pPr>
        <w:numPr>
          <w:ilvl w:val="0"/>
          <w:numId w:val="2"/>
        </w:numPr>
        <w:tabs>
          <w:tab w:val="num" w:pos="426"/>
        </w:tabs>
        <w:spacing w:after="240" w:line="276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Karta przystosowana do umieszczenia na niej certyfikatu kwalifikowanego wraz z kluczami kryptograficznymi oraz certyfikatu niekwalifikowanego wraz z kluczami kryptograficznymi; certyfikaty mogą zostać umieszczone w późniejszym czasie.</w:t>
      </w:r>
    </w:p>
    <w:p w:rsidR="008C3B03" w:rsidRPr="008C3B03" w:rsidRDefault="008C3B03" w:rsidP="008C3B03">
      <w:pPr>
        <w:keepNext/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elektroniczna – bezstykowa</w:t>
      </w:r>
    </w:p>
    <w:p w:rsidR="008C3B03" w:rsidRPr="008C3B03" w:rsidRDefault="008C3B03" w:rsidP="008C3B0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Część bezstykowa jest wyposażona w interfejs zgodny z ISO/IEC 14443 typ A.</w:t>
      </w:r>
    </w:p>
    <w:p w:rsidR="008C3B03" w:rsidRPr="008C3B03" w:rsidRDefault="008C3B03" w:rsidP="008C3B03">
      <w:pPr>
        <w:suppressAutoHyphens/>
        <w:spacing w:after="36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Sposób komunikacji Karty jest zgodny ze standardem przemysłowym MIFARE® dla protokołu klasycznego spełniającym wymagania normy ISO/IEC 14443-1, ISO/IEC 14443-2, ISO/IEC 14443-3 oraz opcjonalnie ISO/IEC 14443-4 (protokół T=CL), przy zachowaniu pełnej antykolizyjności.</w:t>
      </w:r>
    </w:p>
    <w:p w:rsidR="008C3B03" w:rsidRPr="008C3B03" w:rsidRDefault="008C3B03" w:rsidP="008C3B03">
      <w:pPr>
        <w:keepNext/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Wymagania wobec nadruku numeru seryjnego układu elektronicznego standardu MIFARE</w:t>
      </w:r>
    </w:p>
    <w:p w:rsidR="008C3B03" w:rsidRPr="008C3B03" w:rsidRDefault="008C3B03" w:rsidP="008C3B03">
      <w:pPr>
        <w:suppressAutoHyphens/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1.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Wykonawca umieści na blankiecie w sposób trwały, w miejscu przeznaczonym na kod kreskowy, numer karty (odpowiadającemu numerowi seryjnemu zapisanemu w bloku nr 0 w sektorze nr 0 układu scalonego z interfejsem bezstykowym) oraz kod kreskowy.</w:t>
      </w:r>
    </w:p>
    <w:p w:rsidR="008C3B03" w:rsidRPr="008C3B03" w:rsidRDefault="008C3B03" w:rsidP="008C3B03">
      <w:pPr>
        <w:suppressAutoHyphens/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2.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Obowiązuje następujący format nadruku numeru karty:</w:t>
      </w:r>
    </w:p>
    <w:p w:rsidR="008C3B03" w:rsidRPr="008C3B03" w:rsidRDefault="008C3B03" w:rsidP="008C3B03">
      <w:pPr>
        <w:suppressAutoHyphens/>
        <w:spacing w:after="8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a.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zawsze 11 cyfr zgrupowanych w dwóch ciągach rozdzielonych odstępem odpowiednio po 3 i 8 cyfr (np. 001 00000001),</w:t>
      </w:r>
    </w:p>
    <w:p w:rsidR="008C3B03" w:rsidRPr="008C3B03" w:rsidRDefault="008C3B03" w:rsidP="008C3B03">
      <w:pPr>
        <w:suppressAutoHyphens/>
        <w:spacing w:after="8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b.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grupa 3 pierwszych cyfr odpowiada 8 najbardziej znaczącym bitom 32 bitowego kodu numeru, przyjmuje wartości z przedziału &lt;000, 255&gt;,</w:t>
      </w:r>
    </w:p>
    <w:p w:rsidR="008C3B03" w:rsidRPr="008C3B03" w:rsidRDefault="008C3B03" w:rsidP="008C3B03">
      <w:pPr>
        <w:suppressAutoHyphens/>
        <w:spacing w:after="8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c.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grupa pozostałych 8 cyfr odpowiada 24 pozostałym bitom 32 bitowego kodu numeru, przyjmuje wartości z przedziału &lt;00000000, 16777215&gt;,</w:t>
      </w:r>
    </w:p>
    <w:p w:rsidR="008C3B03" w:rsidRPr="008C3B03" w:rsidRDefault="008C3B03" w:rsidP="008C3B03">
      <w:pPr>
        <w:suppressAutoHyphens/>
        <w:spacing w:after="8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d.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obowiązuje zasada uzupełniania każdej grupy cyfr nieznaczącymi zerami (z przodu) do osiągnięcia odpowiednio 3 i 8 cyfr (w sumie zawsze 11 cyfr),</w:t>
      </w:r>
    </w:p>
    <w:p w:rsidR="008C3B03" w:rsidRPr="008C3B03" w:rsidRDefault="008C3B03" w:rsidP="008C3B03">
      <w:pPr>
        <w:suppressAutoHyphens/>
        <w:spacing w:after="80" w:line="276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e. cyfry powinny mieć wysokość nie mniejszą niż </w:t>
      </w:r>
      <w:smartTag w:uri="urn:schemas-microsoft-com:office:smarttags" w:element="metricconverter">
        <w:smartTagPr>
          <w:attr w:name="ProductID" w:val="2 mm"/>
        </w:smartTagPr>
        <w:r w:rsidRPr="008C3B03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2 mm</w:t>
        </w:r>
      </w:smartTag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 nie większą niż 3 mm.</w:t>
      </w:r>
    </w:p>
    <w:p w:rsidR="008C3B03" w:rsidRPr="008C3B03" w:rsidRDefault="008C3B03" w:rsidP="008C3B03">
      <w:pPr>
        <w:suppressAutoHyphens/>
        <w:spacing w:after="8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3.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Kod kreskowy powinien być czytelny dla czytników kodu kreskowego.</w:t>
      </w:r>
    </w:p>
    <w:p w:rsidR="008C3B03" w:rsidRPr="008C3B03" w:rsidRDefault="008C3B03" w:rsidP="008C3B03">
      <w:pPr>
        <w:suppressAutoHyphens/>
        <w:spacing w:after="360" w:line="276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Kod kreskowy musi być odczytywany przez czytniki kodów kreskowych, jako 11 cyfr zgrupowanych w dwóch ciągach rozdzielonych odstępem odpowiednio po 3 i 8 cyfr.</w:t>
      </w:r>
    </w:p>
    <w:p w:rsidR="008C3B03" w:rsidRPr="008C3B03" w:rsidRDefault="008C3B03" w:rsidP="008C3B03">
      <w:pPr>
        <w:keepNext/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Zabezpieczenia na czas dostawy</w:t>
      </w:r>
    </w:p>
    <w:p w:rsidR="008C3B03" w:rsidRPr="008C3B03" w:rsidRDefault="008C3B03" w:rsidP="008C3B03">
      <w:pPr>
        <w:suppressAutoHyphens/>
        <w:spacing w:after="36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>Dostęp do układów elek</w:t>
      </w:r>
      <w:r w:rsidR="00D13048">
        <w:rPr>
          <w:rFonts w:ascii="Times New Roman" w:eastAsia="Times New Roman" w:hAnsi="Times New Roman" w:cs="Times New Roman"/>
          <w:sz w:val="24"/>
          <w:szCs w:val="24"/>
          <w:lang w:eastAsia="ar-SA"/>
        </w:rPr>
        <w:t>tronicznych blankietów ELS</w:t>
      </w:r>
      <w:r w:rsidRPr="008C3B0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jest zabezpieczany na czas dostawy specjalnymi kluczami transportowymi dla części bezstykowej (MIFARE®) i stykowej.</w:t>
      </w:r>
    </w:p>
    <w:p w:rsidR="008C3B03" w:rsidRPr="008C3B03" w:rsidRDefault="008C3B03" w:rsidP="008C3B03">
      <w:pPr>
        <w:keepNext/>
        <w:spacing w:after="120" w:line="276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Zgodność z systemem</w:t>
      </w:r>
    </w:p>
    <w:p w:rsidR="008C3B03" w:rsidRPr="008C3B03" w:rsidRDefault="008C3B03" w:rsidP="008C3B03">
      <w:pPr>
        <w:spacing w:after="36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Proponowane Karty muszą być zgodne (kompatybilne) z zainstalowanym na Uczelni Systemem Elektronicznej Legitymacji Studenckiej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>OPTIcamp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firmy </w:t>
      </w:r>
      <w:proofErr w:type="spellStart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>OPTeam</w:t>
      </w:r>
      <w:proofErr w:type="spellEnd"/>
      <w:r w:rsidRPr="008C3B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S.A.</w:t>
      </w:r>
    </w:p>
    <w:p w:rsidR="008C3B03" w:rsidRDefault="008C3B03"/>
    <w:sectPr w:rsidR="008C3B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C212C"/>
    <w:multiLevelType w:val="hybridMultilevel"/>
    <w:tmpl w:val="231670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6C47BC"/>
    <w:multiLevelType w:val="hybridMultilevel"/>
    <w:tmpl w:val="9B4E8F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87495A"/>
    <w:multiLevelType w:val="hybridMultilevel"/>
    <w:tmpl w:val="51E65D8A"/>
    <w:lvl w:ilvl="0" w:tplc="D23617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26964"/>
    <w:multiLevelType w:val="hybridMultilevel"/>
    <w:tmpl w:val="41A4AA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36B28"/>
    <w:multiLevelType w:val="hybridMultilevel"/>
    <w:tmpl w:val="2E340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C4150C"/>
    <w:multiLevelType w:val="hybridMultilevel"/>
    <w:tmpl w:val="309C32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54381"/>
    <w:multiLevelType w:val="hybridMultilevel"/>
    <w:tmpl w:val="57E8FB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D32"/>
    <w:rsid w:val="00061D25"/>
    <w:rsid w:val="00535F2A"/>
    <w:rsid w:val="00571A8C"/>
    <w:rsid w:val="00700257"/>
    <w:rsid w:val="008C3B03"/>
    <w:rsid w:val="008D5D7C"/>
    <w:rsid w:val="009E6BFC"/>
    <w:rsid w:val="00AB4158"/>
    <w:rsid w:val="00BB1D32"/>
    <w:rsid w:val="00CF358B"/>
    <w:rsid w:val="00D13048"/>
    <w:rsid w:val="00D4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56AE15E"/>
  <w15:chartTrackingRefBased/>
  <w15:docId w15:val="{CF25AD20-9529-4E74-93D0-21F5A1286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unktregulaminu">
    <w:name w:val="Punkt regulaminu"/>
    <w:basedOn w:val="Normalny"/>
    <w:next w:val="Normalny"/>
    <w:rsid w:val="008C3B03"/>
    <w:pPr>
      <w:suppressAutoHyphens/>
      <w:spacing w:before="120" w:after="0" w:line="240" w:lineRule="exact"/>
      <w:ind w:firstLine="580"/>
      <w:jc w:val="both"/>
    </w:pPr>
    <w:rPr>
      <w:rFonts w:ascii="Arial" w:eastAsia="Times New Roman" w:hAnsi="Arial" w:cs="Times New Roman"/>
      <w:lang w:eastAsia="ar-SA"/>
    </w:rPr>
  </w:style>
  <w:style w:type="paragraph" w:styleId="Akapitzlist">
    <w:name w:val="List Paragraph"/>
    <w:basedOn w:val="Normalny"/>
    <w:uiPriority w:val="34"/>
    <w:qFormat/>
    <w:rsid w:val="00535F2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1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18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838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Prolejko</dc:creator>
  <cp:keywords/>
  <dc:description/>
  <cp:lastModifiedBy>Magdalena Kulawczyk</cp:lastModifiedBy>
  <cp:revision>4</cp:revision>
  <cp:lastPrinted>2022-08-04T08:45:00Z</cp:lastPrinted>
  <dcterms:created xsi:type="dcterms:W3CDTF">2022-06-27T11:30:00Z</dcterms:created>
  <dcterms:modified xsi:type="dcterms:W3CDTF">2022-08-04T12:18:00Z</dcterms:modified>
</cp:coreProperties>
</file>